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53EA" w14:textId="4732EE44" w:rsidR="00BA629B" w:rsidRPr="000C6A12" w:rsidRDefault="00FE706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 w:rsidRPr="00FE706B">
        <w:drawing>
          <wp:anchor distT="0" distB="0" distL="114300" distR="114300" simplePos="0" relativeHeight="251658240" behindDoc="0" locked="0" layoutInCell="1" allowOverlap="1" wp14:anchorId="7CCF9EAB" wp14:editId="3EFAF123">
            <wp:simplePos x="0" y="0"/>
            <wp:positionH relativeFrom="column">
              <wp:posOffset>5110480</wp:posOffset>
            </wp:positionH>
            <wp:positionV relativeFrom="page">
              <wp:align>top</wp:align>
            </wp:positionV>
            <wp:extent cx="150495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327" y="21477"/>
                <wp:lineTo x="21327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29B" w:rsidRPr="000C6A12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 wp14:anchorId="7C1F1697" wp14:editId="07EB8770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8E079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AF838BB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A5464E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2871F84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0C420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00C9CF" w14:textId="77777777"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2AEDD198" w14:textId="77777777" w:rsidR="00B9761A" w:rsidRPr="00FE706B" w:rsidRDefault="00B9761A" w:rsidP="00B9761A">
      <w:pPr>
        <w:pStyle w:val="Standard"/>
        <w:spacing w:before="120" w:after="120" w:line="276" w:lineRule="auto"/>
        <w:jc w:val="center"/>
      </w:pPr>
      <w:r w:rsidRPr="00FE706B">
        <w:rPr>
          <w:rFonts w:ascii="Arial" w:hAnsi="Arial" w:cs="Arial"/>
          <w:b/>
          <w:sz w:val="20"/>
          <w:szCs w:val="20"/>
        </w:rPr>
        <w:t>A Helyi Bíráló Bizottság ügyrendje</w:t>
      </w:r>
    </w:p>
    <w:p w14:paraId="76FE11DA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0BFFD4BB" w14:textId="77777777" w:rsidR="00B9761A" w:rsidRPr="00FE706B" w:rsidRDefault="00B9761A" w:rsidP="00B9761A">
      <w:pPr>
        <w:pStyle w:val="Standard"/>
        <w:spacing w:before="120" w:after="120"/>
        <w:jc w:val="both"/>
      </w:pPr>
      <w:r w:rsidRPr="00FE706B">
        <w:rPr>
          <w:rFonts w:ascii="Arial" w:hAnsi="Arial" w:cs="Arial"/>
          <w:sz w:val="20"/>
          <w:szCs w:val="20"/>
        </w:rPr>
        <w:t xml:space="preserve">A Terület,- és Településfejlesztési Operatív Program </w:t>
      </w:r>
      <w:r w:rsidRPr="00FE706B">
        <w:rPr>
          <w:rFonts w:ascii="Arial" w:hAnsi="Arial" w:cs="Arial"/>
          <w:b/>
          <w:sz w:val="20"/>
          <w:szCs w:val="20"/>
        </w:rPr>
        <w:t>a 2014–2020 programozási időszakban az egyes európai uniós alapokból származó támogatások felhasználásának rendjéről szóló 272/2014. (XI. 5.) Korm. rendelet</w:t>
      </w:r>
      <w:r w:rsidRPr="00FE706B">
        <w:rPr>
          <w:rFonts w:ascii="Arial" w:hAnsi="Arial" w:cs="Arial"/>
          <w:sz w:val="20"/>
          <w:szCs w:val="20"/>
        </w:rPr>
        <w:t xml:space="preserve"> (a továbbiakban: Rendelet) 71.-72. § bekezdésével összhangban, a közösségvezérelt helyi fejlesztés kiválasztási rendszerben meghirdetett helyi felhívások alapján beérkező támogatási kérelmekről való döntés megalapozása érdekében a Mohácsi Helyi Közösség helyi akciócsoport (a továbbiakban HACS) helyi bíráló bizottságot (a továbbiakban HBB) hoz létre. A HBB feladata javaslattétel a HACS vezetője számára a HACS munkaszervezete által a HBB elé terjesztett helyi támogatási kérelmek elutasítására vagy támogatására.</w:t>
      </w:r>
    </w:p>
    <w:p w14:paraId="7090C49A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Rendelet 72. § (9) pontja szerint a HBB összehívását, működését, tagjait a helyi akciócsoport által kiadott ügyrendben kell meghatározni.</w:t>
      </w:r>
    </w:p>
    <w:p w14:paraId="7CD32A66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munkája során a jelen - IH által jóváhagyott - Ügyrend szerint jár el.</w:t>
      </w:r>
    </w:p>
    <w:p w14:paraId="4C0E7EF8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329C9EE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534A77F" w14:textId="77777777" w:rsidR="00B9761A" w:rsidRPr="00FE706B" w:rsidRDefault="00B9761A" w:rsidP="00B9761A">
      <w:pPr>
        <w:pStyle w:val="Listaszerbekezds"/>
        <w:numPr>
          <w:ilvl w:val="0"/>
          <w:numId w:val="44"/>
        </w:numPr>
        <w:autoSpaceDN w:val="0"/>
        <w:spacing w:before="120" w:after="120"/>
        <w:contextualSpacing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A DÖNTÉSHOZATALI ELJÁRÁSBAN RÉSZTVEVŐK</w:t>
      </w:r>
    </w:p>
    <w:p w14:paraId="600A8C86" w14:textId="77777777" w:rsidR="00B9761A" w:rsidRPr="00FE706B" w:rsidRDefault="00B9761A" w:rsidP="00B9761A">
      <w:pPr>
        <w:pStyle w:val="Listaszerbekezds"/>
        <w:spacing w:before="120" w:after="120"/>
        <w:ind w:left="1080"/>
        <w:jc w:val="both"/>
        <w:rPr>
          <w:rFonts w:ascii="Arial" w:hAnsi="Arial" w:cs="Arial"/>
          <w:sz w:val="20"/>
          <w:szCs w:val="20"/>
        </w:rPr>
      </w:pPr>
    </w:p>
    <w:p w14:paraId="0FBDE545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a tagok megválasztásával jön létre.</w:t>
      </w:r>
    </w:p>
    <w:p w14:paraId="031153D3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szavazati joggal rendelkező tagjait konzorciumok esetén a tagok, egyesületek esetén a közgyűlés/küldöttgyűlés, egyszerű többséggel, nyílt vagy titkos szavazással választja tagjai közül határozott időre, a megbízatási időpontok meghatározásával.</w:t>
      </w:r>
    </w:p>
    <w:p w14:paraId="4AC96B44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tagság megszűnik</w:t>
      </w:r>
    </w:p>
    <w:p w14:paraId="2C24F097" w14:textId="77777777" w:rsidR="00B9761A" w:rsidRPr="00FE706B" w:rsidRDefault="00B9761A" w:rsidP="00B9761A">
      <w:pPr>
        <w:pStyle w:val="Listaszerbekezds"/>
        <w:numPr>
          <w:ilvl w:val="0"/>
          <w:numId w:val="45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határozott idő elteltével,</w:t>
      </w:r>
    </w:p>
    <w:p w14:paraId="202E9604" w14:textId="77777777" w:rsidR="00B9761A" w:rsidRPr="00FE706B" w:rsidRDefault="00B9761A" w:rsidP="00B9761A">
      <w:pPr>
        <w:pStyle w:val="Listaszerbekezds"/>
        <w:numPr>
          <w:ilvl w:val="0"/>
          <w:numId w:val="40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lemondással,</w:t>
      </w:r>
    </w:p>
    <w:p w14:paraId="363DE408" w14:textId="77777777" w:rsidR="00B9761A" w:rsidRPr="00FE706B" w:rsidRDefault="00B9761A" w:rsidP="00B9761A">
      <w:pPr>
        <w:pStyle w:val="Listaszerbekezds"/>
        <w:numPr>
          <w:ilvl w:val="0"/>
          <w:numId w:val="40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tag/póttag cselekvőképtelenségével,</w:t>
      </w:r>
    </w:p>
    <w:p w14:paraId="7F61D2CE" w14:textId="77777777" w:rsidR="00B9761A" w:rsidRPr="00FE706B" w:rsidRDefault="00B9761A" w:rsidP="00B9761A">
      <w:pPr>
        <w:pStyle w:val="Listaszerbekezds"/>
        <w:numPr>
          <w:ilvl w:val="0"/>
          <w:numId w:val="40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konzorcium / egyesület legfelsőbb döntéshozó testületének ilyen irányú döntése esetén.</w:t>
      </w:r>
    </w:p>
    <w:p w14:paraId="66E1291C" w14:textId="77777777" w:rsidR="00B9761A" w:rsidRPr="00FE706B" w:rsidRDefault="00B9761A" w:rsidP="00B9761A">
      <w:pPr>
        <w:pStyle w:val="Standard"/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Bármely tag megbízatásának megszűnése esetén a taggyűlés/közgyűlés/küldöttgyűlés a megszűnéstől számított legkésőbb 30 napon belül új tagot választ.</w:t>
      </w:r>
    </w:p>
    <w:p w14:paraId="66F3162C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6A6919E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I.1</w:t>
      </w:r>
      <w:r w:rsidRPr="00FE706B">
        <w:rPr>
          <w:rFonts w:ascii="Arial" w:hAnsi="Arial" w:cs="Arial"/>
          <w:b/>
          <w:sz w:val="20"/>
          <w:szCs w:val="20"/>
        </w:rPr>
        <w:tab/>
        <w:t>A szavazati joggal rendelkező tagok</w:t>
      </w:r>
    </w:p>
    <w:p w14:paraId="0F2D2900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szavazó tagjai együttesen felelnek a HBB által hozott javaslatokért.</w:t>
      </w:r>
    </w:p>
    <w:p w14:paraId="528AAD3B" w14:textId="5F142771" w:rsidR="00B9761A" w:rsidRPr="00FE706B" w:rsidRDefault="00B9761A" w:rsidP="00B9761A">
      <w:pPr>
        <w:pStyle w:val="Standard"/>
        <w:spacing w:before="120" w:after="120"/>
        <w:jc w:val="both"/>
      </w:pPr>
      <w:r w:rsidRPr="00FE706B">
        <w:rPr>
          <w:rFonts w:ascii="Arial" w:hAnsi="Arial" w:cs="Arial"/>
          <w:sz w:val="20"/>
          <w:szCs w:val="20"/>
        </w:rPr>
        <w:t>A HBB 5 fő</w:t>
      </w:r>
      <w:r w:rsidR="00FE706B">
        <w:rPr>
          <w:rFonts w:ascii="Arial" w:hAnsi="Arial" w:cs="Arial"/>
          <w:sz w:val="20"/>
          <w:szCs w:val="20"/>
        </w:rPr>
        <w:t xml:space="preserve"> </w:t>
      </w:r>
      <w:r w:rsidRPr="00FE706B">
        <w:rPr>
          <w:rFonts w:ascii="Arial" w:hAnsi="Arial" w:cs="Arial"/>
          <w:sz w:val="20"/>
          <w:szCs w:val="20"/>
        </w:rPr>
        <w:t>szavazati joggal rendelkező tagból áll.</w:t>
      </w:r>
    </w:p>
    <w:p w14:paraId="2D248E2C" w14:textId="77777777" w:rsidR="00B9761A" w:rsidRPr="00FE706B" w:rsidRDefault="00B9761A" w:rsidP="00B9761A">
      <w:pPr>
        <w:pStyle w:val="Standard"/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Minden tagnak egy szavazata van, és minden tag szavazata egyenlő.</w:t>
      </w:r>
    </w:p>
    <w:p w14:paraId="6E6EEA60" w14:textId="77777777" w:rsidR="00B9761A" w:rsidRPr="00FE706B" w:rsidRDefault="00B9761A" w:rsidP="00B9761A">
      <w:pPr>
        <w:pStyle w:val="Standard"/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</w:p>
    <w:p w14:paraId="30224E27" w14:textId="77777777" w:rsidR="00B9761A" w:rsidRPr="00FE706B" w:rsidRDefault="00B9761A" w:rsidP="00B9761A">
      <w:pPr>
        <w:pStyle w:val="Standard"/>
        <w:spacing w:before="120" w:after="120"/>
        <w:ind w:left="6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I.1.1. Az elnök</w:t>
      </w:r>
    </w:p>
    <w:p w14:paraId="2F1CE996" w14:textId="77777777" w:rsidR="00B9761A" w:rsidRPr="00FE706B" w:rsidRDefault="00B9761A" w:rsidP="00B9761A">
      <w:pPr>
        <w:pStyle w:val="Standard"/>
        <w:spacing w:before="120" w:after="120"/>
        <w:ind w:left="66"/>
        <w:jc w:val="both"/>
      </w:pPr>
      <w:r w:rsidRPr="00FE706B">
        <w:rPr>
          <w:rFonts w:ascii="Arial" w:hAnsi="Arial" w:cs="Arial"/>
          <w:sz w:val="20"/>
          <w:szCs w:val="20"/>
        </w:rPr>
        <w:lastRenderedPageBreak/>
        <w:t>A HBB szavazati joggal rendelkező tagjai közül a HBB tagsága egyszerű többséggel, nyílt szavazással választ elnököt és alelnököt.</w:t>
      </w:r>
    </w:p>
    <w:p w14:paraId="0339FAE9" w14:textId="77777777" w:rsidR="00B9761A" w:rsidRPr="00FE706B" w:rsidRDefault="00B9761A" w:rsidP="00B9761A">
      <w:pPr>
        <w:pStyle w:val="Standard"/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elnök felel az eljárás átláthatóságáért, pártatlanságáért és az eljárási szabályok betartásáért.</w:t>
      </w:r>
    </w:p>
    <w:p w14:paraId="625B60D5" w14:textId="77777777" w:rsidR="00B9761A" w:rsidRPr="00FE706B" w:rsidRDefault="00B9761A" w:rsidP="00B9761A">
      <w:pPr>
        <w:pStyle w:val="Standard"/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elnök feladata az ülés levezetése, a helyi támogatási kérelmek előterjesztése, az üléseken született döntési javaslat és az ülésekről készült jegyzőkönyv ellenjegyzése.</w:t>
      </w:r>
    </w:p>
    <w:p w14:paraId="669EC151" w14:textId="77777777" w:rsidR="00B9761A" w:rsidRPr="00FE706B" w:rsidRDefault="00B9761A" w:rsidP="00B9761A">
      <w:pPr>
        <w:pStyle w:val="Standard"/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Amennyiben a HBB működése során eljárási szabálytalanság merül fel, az elnök intézkedik a HBB szabályszerű működésének helyreállításáról.</w:t>
      </w:r>
    </w:p>
    <w:p w14:paraId="736B2D85" w14:textId="77777777" w:rsidR="00B9761A" w:rsidRPr="00FE706B" w:rsidRDefault="00B9761A" w:rsidP="00B9761A">
      <w:pPr>
        <w:pStyle w:val="Standard"/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elnöke nem lehet a HACS elnöke.</w:t>
      </w:r>
    </w:p>
    <w:p w14:paraId="71BE3323" w14:textId="77777777" w:rsidR="00B9761A" w:rsidRPr="00FE706B" w:rsidRDefault="00B9761A" w:rsidP="00B9761A">
      <w:pPr>
        <w:pStyle w:val="Standard"/>
        <w:spacing w:before="120" w:after="120"/>
        <w:ind w:left="66"/>
        <w:jc w:val="both"/>
      </w:pPr>
      <w:r w:rsidRPr="00FE706B">
        <w:rPr>
          <w:rFonts w:ascii="Arial" w:hAnsi="Arial" w:cs="Arial"/>
          <w:sz w:val="20"/>
          <w:szCs w:val="20"/>
        </w:rPr>
        <w:t>Az elnök akadályoztatása esetén az alelnök jár el a HBB képviseletében.</w:t>
      </w:r>
    </w:p>
    <w:p w14:paraId="28BCAE3E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97542FC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I.1.2. A HBB tagja</w:t>
      </w:r>
    </w:p>
    <w:p w14:paraId="52979BCE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szavazati joggal rendelkező tagjai:</w:t>
      </w:r>
    </w:p>
    <w:p w14:paraId="1D411B02" w14:textId="77777777" w:rsidR="00B9761A" w:rsidRPr="00FE706B" w:rsidRDefault="00B9761A" w:rsidP="00B9761A">
      <w:pPr>
        <w:pStyle w:val="Listaszerbekezds"/>
        <w:numPr>
          <w:ilvl w:val="0"/>
          <w:numId w:val="46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ülése előtt megismerik a rendelkezésükre bocsátott helyi támogatási kérelmeket, az azokkal kapcsolatos dokumentumokat, valamint a helyi támogatási kérelmek értékelését;</w:t>
      </w:r>
    </w:p>
    <w:p w14:paraId="65B5E827" w14:textId="77777777" w:rsidR="00B9761A" w:rsidRPr="00FE706B" w:rsidRDefault="00B9761A" w:rsidP="00B9761A">
      <w:pPr>
        <w:pStyle w:val="Listaszerbekezds"/>
        <w:numPr>
          <w:ilvl w:val="0"/>
          <w:numId w:val="43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megvitatják a munkaszervezet által elutasításra javasolt helyi támogatási kérelmek indoklásának megalapozottságát,</w:t>
      </w:r>
    </w:p>
    <w:p w14:paraId="0E980480" w14:textId="77777777" w:rsidR="00B9761A" w:rsidRPr="00FE706B" w:rsidRDefault="00B9761A" w:rsidP="00B9761A">
      <w:pPr>
        <w:pStyle w:val="Listaszerbekezds"/>
        <w:numPr>
          <w:ilvl w:val="0"/>
          <w:numId w:val="43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megvitatják és rangsorolják a munkaszervezet által jogosultnak ítélt helyi támogatási kérelmeket a HKFS megvalósítása érdekében meghirdetett helyi felhívásokhoz való illeszkedésük szempontjából, az abban meghirdetett kritériumok és a HACS munkaszervezetének értékelése alapján;</w:t>
      </w:r>
    </w:p>
    <w:p w14:paraId="78F15E4A" w14:textId="77777777" w:rsidR="00B9761A" w:rsidRPr="00FE706B" w:rsidRDefault="00B9761A" w:rsidP="00B9761A">
      <w:pPr>
        <w:pStyle w:val="Listaszerbekezds"/>
        <w:numPr>
          <w:ilvl w:val="0"/>
          <w:numId w:val="43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döntési javaslatot fogalmaznak meg az egyes helyi támogatási kérelmek elutasítására vagy támogatására vonatkozóan.</w:t>
      </w:r>
    </w:p>
    <w:p w14:paraId="5EBB3B23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I.3. A póttag</w:t>
      </w:r>
    </w:p>
    <w:p w14:paraId="4FD88A1A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HACS az általa delegált személy akadályoztatása esetén póttagot jelölhet, aki a HBB szavazati joggal rendelkező tagját helyettesítheti. A póttag jogai, kötelezettségei és feladatai megegyeznek az általa helyettesített rendes tag jogaival, kötelezettségeivel és feladataival.</w:t>
      </w:r>
    </w:p>
    <w:p w14:paraId="4136DFDC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136E1A5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I.2</w:t>
      </w:r>
      <w:r w:rsidRPr="00FE706B">
        <w:rPr>
          <w:rFonts w:ascii="Arial" w:hAnsi="Arial" w:cs="Arial"/>
          <w:b/>
          <w:sz w:val="20"/>
          <w:szCs w:val="20"/>
        </w:rPr>
        <w:tab/>
        <w:t>A szavazati joggal nem rendelkező résztvevők</w:t>
      </w:r>
    </w:p>
    <w:p w14:paraId="617B7844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tanácskozási joggal rendelkező állandó meghívottja az IH képviselője.</w:t>
      </w:r>
    </w:p>
    <w:p w14:paraId="58C1B652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A7C5E07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I.2.2. A HBB titkára</w:t>
      </w:r>
    </w:p>
    <w:p w14:paraId="302FFE26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titkári feladatait a HACS munkaszervezetének képviselője látja el, aki részt vesz a HBB ülésein, de szavazati joggal nem rendelkezik.</w:t>
      </w:r>
    </w:p>
    <w:p w14:paraId="3C35B5D9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titkár:</w:t>
      </w:r>
    </w:p>
    <w:p w14:paraId="738E0897" w14:textId="77777777" w:rsidR="00B9761A" w:rsidRPr="00FE706B" w:rsidRDefault="00B9761A" w:rsidP="00B9761A">
      <w:pPr>
        <w:pStyle w:val="Listaszerbekezds"/>
        <w:numPr>
          <w:ilvl w:val="0"/>
          <w:numId w:val="47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gondoskodik a HBB ülések lebonyolításához szükséges technikai feltételek biztosításáról,</w:t>
      </w:r>
    </w:p>
    <w:p w14:paraId="2AEC82FD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megszervezi a HBB üléseit, kapcsolatot tart a tagokkal és a résztvevőkkel,</w:t>
      </w:r>
    </w:p>
    <w:p w14:paraId="4E6A00BF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</w:pPr>
      <w:r w:rsidRPr="00FE706B">
        <w:rPr>
          <w:rFonts w:ascii="Arial" w:hAnsi="Arial" w:cs="Arial"/>
          <w:sz w:val="20"/>
          <w:szCs w:val="20"/>
        </w:rPr>
        <w:t>elkészíti és az ülés előtt legalább 5 munkanappal elektronikus úton megküldi a HBB résztvevői számára a</w:t>
      </w:r>
    </w:p>
    <w:p w14:paraId="53AB7B3F" w14:textId="77777777" w:rsidR="00B9761A" w:rsidRPr="00FE706B" w:rsidRDefault="00B9761A" w:rsidP="00B9761A">
      <w:pPr>
        <w:pStyle w:val="Listaszerbekezds"/>
        <w:numPr>
          <w:ilvl w:val="2"/>
          <w:numId w:val="41"/>
        </w:numPr>
        <w:autoSpaceDN w:val="0"/>
        <w:spacing w:before="120" w:after="120" w:line="276" w:lineRule="auto"/>
        <w:ind w:left="1276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meghívó levelet</w:t>
      </w:r>
    </w:p>
    <w:p w14:paraId="74A4143F" w14:textId="77777777" w:rsidR="00B9761A" w:rsidRPr="00FE706B" w:rsidRDefault="00B9761A" w:rsidP="00B9761A">
      <w:pPr>
        <w:pStyle w:val="Listaszerbekezds"/>
        <w:numPr>
          <w:ilvl w:val="2"/>
          <w:numId w:val="41"/>
        </w:numPr>
        <w:autoSpaceDN w:val="0"/>
        <w:spacing w:before="120" w:after="120" w:line="276" w:lineRule="auto"/>
        <w:ind w:left="1276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bírálatra előterjesztendő helyi támogatási kérelmek és mellékleteik szkennelt változatát,</w:t>
      </w:r>
    </w:p>
    <w:p w14:paraId="55A9B876" w14:textId="77777777" w:rsidR="00B9761A" w:rsidRPr="00FE706B" w:rsidRDefault="00B9761A" w:rsidP="00B9761A">
      <w:pPr>
        <w:pStyle w:val="Listaszerbekezds"/>
        <w:numPr>
          <w:ilvl w:val="2"/>
          <w:numId w:val="41"/>
        </w:numPr>
        <w:autoSpaceDN w:val="0"/>
        <w:spacing w:before="120" w:after="120" w:line="276" w:lineRule="auto"/>
        <w:ind w:left="1276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lastRenderedPageBreak/>
        <w:t>a HBB által megvitatandó helyi támogatási kérelmek értékelésének és az értékelések összesítését tartalmazó felterjesztési lista szkennelt változatát,</w:t>
      </w:r>
    </w:p>
    <w:p w14:paraId="6B165F35" w14:textId="77777777" w:rsidR="00B9761A" w:rsidRPr="00FE706B" w:rsidRDefault="00B9761A" w:rsidP="00B9761A">
      <w:pPr>
        <w:pStyle w:val="Listaszerbekezds"/>
        <w:numPr>
          <w:ilvl w:val="2"/>
          <w:numId w:val="41"/>
        </w:numPr>
        <w:autoSpaceDN w:val="0"/>
        <w:spacing w:before="120" w:after="120" w:line="276" w:lineRule="auto"/>
        <w:ind w:left="1276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titoktartási és összeférhetetlenségi nyilatkozat formanyomtatványát (2. sz. melléklet)</w:t>
      </w:r>
    </w:p>
    <w:p w14:paraId="544F5403" w14:textId="77777777" w:rsidR="00B9761A" w:rsidRPr="00FE706B" w:rsidRDefault="00B9761A" w:rsidP="00B9761A">
      <w:pPr>
        <w:pStyle w:val="Listaszerbekezds"/>
        <w:numPr>
          <w:ilvl w:val="2"/>
          <w:numId w:val="41"/>
        </w:numPr>
        <w:autoSpaceDN w:val="0"/>
        <w:spacing w:before="120" w:after="120" w:line="276" w:lineRule="auto"/>
        <w:ind w:left="1276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első ülést megelőzően a HBB ügyrendjét.</w:t>
      </w:r>
    </w:p>
    <w:p w14:paraId="0256D654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begyűjti és iktatja a HBB ülésen résztvevő személyek titoktartási és összeférhetetlenségi nyilatkozatait,</w:t>
      </w:r>
    </w:p>
    <w:p w14:paraId="586902D2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biztosítja, hogy a HBB tagjai az ülést megelőzően és az ülés során betekinthessenek az ülésen elbírálásra kerülő helyi támogatási kérelmekbe és mellékleteikbe,</w:t>
      </w:r>
    </w:p>
    <w:p w14:paraId="4F9E15DF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ellenőrzi, hogy a HBB tagjának távolléte esetén a tagot helyettesítő személy póttagként előzetesen kijelölésre került-e,</w:t>
      </w:r>
    </w:p>
    <w:p w14:paraId="7EB9E5D9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aláírt jelenléti ív alapján segíti a HBB elnökét a HBB határozatképességének ellenőrzésében,</w:t>
      </w:r>
    </w:p>
    <w:p w14:paraId="3CB3ADDE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jelen ügyrend 1. mellékletét képező, az IH által megadott sablon alapján elkészíti a HBB ülések jegyzőkönyvét,</w:t>
      </w:r>
    </w:p>
    <w:p w14:paraId="5421F730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gondoskodik arról, hogy a jegyzőkönyvet HBB elnöke és a bizottság egy további, előzetesen kijelölt, állandó tagja aláírásával hitelesítése,</w:t>
      </w:r>
    </w:p>
    <w:p w14:paraId="3614C89A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megküldi a hitelesített jegyzőkönyvet a HACS elnökének ellenjegyzésére,</w:t>
      </w:r>
    </w:p>
    <w:p w14:paraId="56607F74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biztosítja a HBB tagjai és résztvevői számára a jóváhagyott jegyzőkönyvbe történő betekintést,</w:t>
      </w:r>
    </w:p>
    <w:p w14:paraId="4F06783B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szükség esetén megküldi a jóváhagyott jegyzőkönyv másolatát a HBB tagjai számára,</w:t>
      </w:r>
    </w:p>
    <w:p w14:paraId="463F4946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</w:pPr>
      <w:r w:rsidRPr="00FE706B">
        <w:rPr>
          <w:rFonts w:ascii="Arial" w:hAnsi="Arial" w:cs="Arial"/>
          <w:sz w:val="20"/>
          <w:szCs w:val="20"/>
        </w:rPr>
        <w:t>a HBB ülést követő 20 napon belül megküldi a HACS elnöke által jóváhagyott HBB jegyzőkönyvet az IH-nak,</w:t>
      </w:r>
    </w:p>
    <w:p w14:paraId="04EAD41B" w14:textId="77777777" w:rsidR="00B9761A" w:rsidRPr="00FE706B" w:rsidRDefault="00B9761A" w:rsidP="00B9761A">
      <w:pPr>
        <w:pStyle w:val="Listaszerbekezds"/>
        <w:numPr>
          <w:ilvl w:val="0"/>
          <w:numId w:val="41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gondoskodik a HBB munkája során keletkezett iratok megőrzéséről.</w:t>
      </w:r>
    </w:p>
    <w:p w14:paraId="3FD7C2D6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5A59F7" w14:textId="77777777" w:rsidR="00B9761A" w:rsidRPr="00FE706B" w:rsidRDefault="00B9761A" w:rsidP="00B9761A">
      <w:pPr>
        <w:pStyle w:val="Listaszerbekezds"/>
        <w:keepNext/>
        <w:numPr>
          <w:ilvl w:val="0"/>
          <w:numId w:val="39"/>
        </w:numPr>
        <w:autoSpaceDN w:val="0"/>
        <w:spacing w:before="120" w:after="120"/>
        <w:contextualSpacing w:val="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A HBB MŰKÖDÉSE</w:t>
      </w:r>
    </w:p>
    <w:p w14:paraId="4C3A4AD9" w14:textId="77777777" w:rsidR="00B9761A" w:rsidRPr="00FE706B" w:rsidRDefault="00B9761A" w:rsidP="00B9761A">
      <w:pPr>
        <w:pStyle w:val="Standard"/>
        <w:keepNext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5632CE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II.1. A HBB összehívása</w:t>
      </w:r>
    </w:p>
    <w:p w14:paraId="4CE81015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üléseit annak elnöke hívja össze és vezeti. A HBB ülésének időpontjára a munkaszervezet vezető tesz javaslatot azzal, hogy a HBB üléseit a helyi támogatási kérelem beadási szakaszának lezárását követően legalább 30, de legfeljebb 90 napon belüli időpontra kell összehívni.</w:t>
      </w:r>
    </w:p>
    <w:p w14:paraId="7DBDCA38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Amennyiben indokolt, a helyi támogatási kérelmek megtárgyalására több ülést szükséges összehívni.</w:t>
      </w:r>
    </w:p>
    <w:p w14:paraId="7503C951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4F15BF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II.2. A HBB rendes ülése vagy írásbeli szavazása</w:t>
      </w:r>
    </w:p>
    <w:p w14:paraId="4E021AD3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rendes ülésén a helyi támogatási kérelmeket szóban megvitatja és azokról döntési javaslatot készít.</w:t>
      </w:r>
    </w:p>
    <w:p w14:paraId="41CBF3B5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Amennyiben a HBB elnöke a döntés meghozatalához szükséges feltételeket biztosítottnak látja, írásbeli szavazást kezdeményezhet. Az írásbeli szavazást a HBB titkára bonyolítja le. A HBB titkára az előterjesztést a HBB elnökének jóváhagyásával küldi el a szavazati joggal rendelkező HBB tagoknak. Írásos szavazás esetén a titkár a válaszadási határidő megjelölése mellett elektronikus levélben megküldi, vagy hozzáférhetővé teszi a tagok részére a szavazó lapot, illetve a I.2.2. c.i-v. pontban meghatározott dokumentumokat. Amennyiben a szavazati joggal rendelkező tagnak, póttagnak az előterjesztéssel kapcsolódóan kérdései merülnének fel, azokkal a válaszadási határidőn belül a titkárhoz fordulhat.</w:t>
      </w:r>
    </w:p>
    <w:p w14:paraId="4851458A" w14:textId="77777777" w:rsidR="00B9761A" w:rsidRPr="00FE706B" w:rsidRDefault="00B9761A" w:rsidP="00B9761A">
      <w:pPr>
        <w:pStyle w:val="Standard"/>
        <w:spacing w:before="120" w:after="120" w:line="276" w:lineRule="auto"/>
        <w:jc w:val="both"/>
      </w:pPr>
      <w:r w:rsidRPr="00FE706B">
        <w:rPr>
          <w:rFonts w:ascii="Arial" w:hAnsi="Arial" w:cs="Arial"/>
          <w:sz w:val="20"/>
          <w:szCs w:val="20"/>
        </w:rPr>
        <w:lastRenderedPageBreak/>
        <w:t>A szavazati joggal rendelkező tagok, illetve póttagok a szavazólapot kitöltik, egyértelműen megjelölik, hogy a helyi támogatási kérelmet támogatásra, vagy elutasításra javasolják, aláírásukkal hitelesítik, majd a megjelölt határidőre, elektronikus úton megküldik a titkár részére. A megküldött szavazó lapok eredeti példányát legkésőbb a soron következő HBB ülésen a titkár részére át kell adni. Amennyiben újabb ülésre a szavazás lezárását követő 5 napon belül nem kerül sor, a szavazó lapot a szavazás lezárását követő 2 napon belül postázni kell a titkár részére. A titkár a döntési javaslatokat összesíti, majd az összesítést és az ez alapján kialakított javaslatot megküldi a szavazati joggal rendelkező tagok, póttagok részére, valamint a HACS elnöke/vezetője részére ellenjegyzésre.</w:t>
      </w:r>
    </w:p>
    <w:p w14:paraId="70E5905A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írásbeli szavazás érvényessége és eredményessége megegyezik a szóbeli szavazáséval.</w:t>
      </w:r>
    </w:p>
    <w:p w14:paraId="31DFC901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Amennyiben adott helyi támogatási kérelmekről az írásbeli szavazás eredménytelen vagy érvénytelen volt, öt, sürgős esetben három napon belül össze kell hívni a HBB ülést.</w:t>
      </w:r>
    </w:p>
    <w:p w14:paraId="712EEC06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előterjesztéssel történő egyet nem értése esetén bármely HBB tag indítványára az indítvány benyújtását követő 10 napon belül az írásbeli eljárás tárgyát képező kérdésben rendes ülést kell tartani.</w:t>
      </w:r>
    </w:p>
    <w:p w14:paraId="30219904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írásos javaslattételi eljárás lefolytatásáról összefoglaló készül, amely tartalmazza a szavazati joggal rendelkező tagok szavazatának, észrevételeinek ismertetését és elektronikus úton kerül megküldésre a tagok részére, vagy a következő ülés napirendi pontját képezi.</w:t>
      </w:r>
    </w:p>
    <w:p w14:paraId="13F80B98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E1713B" w14:textId="77777777" w:rsidR="00B9761A" w:rsidRPr="00FE706B" w:rsidRDefault="00B9761A" w:rsidP="00B9761A">
      <w:pPr>
        <w:pStyle w:val="Standard"/>
        <w:keepNext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II.3. Az egyes helyi támogatási kérelmekre vonatkozó javaslattétel folyamata</w:t>
      </w:r>
    </w:p>
    <w:p w14:paraId="3CC1A1F3" w14:textId="77777777" w:rsidR="00B9761A" w:rsidRPr="00FE706B" w:rsidRDefault="00B9761A" w:rsidP="00B9761A">
      <w:pPr>
        <w:pStyle w:val="Standard"/>
        <w:keepNext/>
        <w:spacing w:before="120" w:after="12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6B6EC5FC" w14:textId="77777777" w:rsidR="00B9761A" w:rsidRPr="00FE706B" w:rsidRDefault="00B9761A" w:rsidP="00B9761A">
      <w:pPr>
        <w:pStyle w:val="Standard"/>
        <w:keepNext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II.3.1. Határozatképesség</w:t>
      </w:r>
    </w:p>
    <w:p w14:paraId="13AE452B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</w:pPr>
      <w:r w:rsidRPr="00FE706B">
        <w:rPr>
          <w:rFonts w:ascii="Arial" w:hAnsi="Arial" w:cs="Arial"/>
          <w:bCs/>
          <w:sz w:val="20"/>
          <w:szCs w:val="20"/>
        </w:rPr>
        <w:t>A szavazati joggal rendelkező tag távolmaradásáról köteles előzetesen, legkésőbb az ülést megelőző utolsó munkanapon értesíteni a HBB titkárát.</w:t>
      </w:r>
    </w:p>
    <w:p w14:paraId="1FA03666" w14:textId="77777777" w:rsidR="00B9761A" w:rsidRPr="00FE706B" w:rsidRDefault="00B9761A" w:rsidP="00B9761A">
      <w:pPr>
        <w:pStyle w:val="Standard"/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határozatképes, amennyiben</w:t>
      </w:r>
    </w:p>
    <w:p w14:paraId="6053AE3C" w14:textId="77777777" w:rsidR="00B9761A" w:rsidRPr="00FE706B" w:rsidRDefault="00B9761A" w:rsidP="00B9761A">
      <w:pPr>
        <w:pStyle w:val="Listaszerbekezds"/>
        <w:numPr>
          <w:ilvl w:val="0"/>
          <w:numId w:val="48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szavazati joggal rendelkező tagok (szükség esetén póttag) legalább 50%-a együttesen jelen van az ülés teljes időtartama alatt.</w:t>
      </w:r>
    </w:p>
    <w:p w14:paraId="05502312" w14:textId="77777777" w:rsidR="00B9761A" w:rsidRPr="00FE706B" w:rsidRDefault="00B9761A" w:rsidP="00B9761A">
      <w:pPr>
        <w:pStyle w:val="Listaszerbekezds"/>
        <w:numPr>
          <w:ilvl w:val="0"/>
          <w:numId w:val="42"/>
        </w:numPr>
        <w:autoSpaceDN w:val="0"/>
        <w:spacing w:before="120" w:after="12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jelen lévő, szavazati joggal rendelkező tagjai vonatkozásában sem a közszféra, sem egyetlen más érdekcsoport (civil és vállalkozói szektor) nem rendelkezhet a szavazati jogok 49%-át meghaladó hányadával. Közszférában munkaviszonnyal rendelkező személyek tagsága a HBB-ben csak ebben a képviseleti minőségükben vehető számba.</w:t>
      </w:r>
    </w:p>
    <w:p w14:paraId="6E5E12E6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E706B">
        <w:rPr>
          <w:rFonts w:ascii="Arial" w:hAnsi="Arial" w:cs="Arial"/>
          <w:bCs/>
          <w:sz w:val="20"/>
          <w:szCs w:val="20"/>
        </w:rPr>
        <w:t>Az elnök feladata, hogy ellenőrizze a HBB határozatképességét, illetve azt, hogy a HBB tagjai közül élt-e, vagy kíván-e élni valamely HBB tag bejelentési kötelezettséggel, miszerint adott helyi támogatási kérelemmel kapcsolatosan összeférhetetlenség állapítható meg.</w:t>
      </w:r>
    </w:p>
    <w:p w14:paraId="2A07E596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határozatképességét az ülés teljes időtartama alatt fenn kell tartani.</w:t>
      </w:r>
    </w:p>
    <w:p w14:paraId="0BFF71DA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tag személyesen jelenik meg a HBB rendes ülésén, meghatalmazott útján történő képviseletre nincs lehetőség.</w:t>
      </w:r>
    </w:p>
    <w:p w14:paraId="61BF812C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ülése zárt.</w:t>
      </w:r>
    </w:p>
    <w:p w14:paraId="0ACB720B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E706B">
        <w:rPr>
          <w:rFonts w:ascii="Arial" w:hAnsi="Arial" w:cs="Arial"/>
          <w:bCs/>
          <w:sz w:val="20"/>
          <w:szCs w:val="20"/>
        </w:rPr>
        <w:t>Amennyiben a HBB nem határozatképes, vagy a HBB az ülés során határozatképtelenné válik, az elnök a HBB ülést elnapolja és megismételt ülést hív össze, melynek időpontjáról külön meghívóban tájékoztatja a HBB tagjait és résztvevőit.</w:t>
      </w:r>
    </w:p>
    <w:p w14:paraId="39E2C98B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C5AA027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II.3.2. Összeférhetetlenség</w:t>
      </w:r>
    </w:p>
    <w:p w14:paraId="4BBEDD05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támogatásra vonatkozó döntés meghozatalában nem vehet részt az a személy vagy szervezet, aki az adott felhívásra támogatási kérelmet nyújtott be, a helyi támogatási kérelem elkészítésében részt vett, a projekt megvalósítója, ha a támogatási kérelméről még nem született döntés, valamint az, aki</w:t>
      </w:r>
    </w:p>
    <w:p w14:paraId="7431F562" w14:textId="77777777" w:rsidR="00B9761A" w:rsidRPr="00FE706B" w:rsidRDefault="00B9761A" w:rsidP="00B9761A">
      <w:pPr>
        <w:pStyle w:val="Listaszerbekezds"/>
        <w:numPr>
          <w:ilvl w:val="0"/>
          <w:numId w:val="49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lastRenderedPageBreak/>
        <w:t>a támogatást igénylő szervezettel munkaviszonyban vagy munkavégzésre irányuló egyéb jogviszonyban áll;</w:t>
      </w:r>
    </w:p>
    <w:p w14:paraId="3B9FB85F" w14:textId="77777777" w:rsidR="00B9761A" w:rsidRPr="00FE706B" w:rsidRDefault="00B9761A" w:rsidP="00B9761A">
      <w:pPr>
        <w:pStyle w:val="Listaszerbekezds"/>
        <w:numPr>
          <w:ilvl w:val="0"/>
          <w:numId w:val="38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támogatást igénylő szervezet vezető tisztségviselője vagy felügyelő bizottságának tagja;</w:t>
      </w:r>
    </w:p>
    <w:p w14:paraId="7970F371" w14:textId="77777777" w:rsidR="00B9761A" w:rsidRPr="00FE706B" w:rsidRDefault="00B9761A" w:rsidP="00B9761A">
      <w:pPr>
        <w:pStyle w:val="Listaszerbekezds"/>
        <w:numPr>
          <w:ilvl w:val="0"/>
          <w:numId w:val="38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támogatást igénylő szervezet tagja vagy abban közvetlen / közvetett tulajdoni részesedéssel rendelkezik;</w:t>
      </w:r>
    </w:p>
    <w:p w14:paraId="7D383B92" w14:textId="77777777" w:rsidR="00B9761A" w:rsidRPr="00FE706B" w:rsidRDefault="00B9761A" w:rsidP="00B9761A">
      <w:pPr>
        <w:pStyle w:val="Listaszerbekezds"/>
        <w:numPr>
          <w:ilvl w:val="0"/>
          <w:numId w:val="38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</w:pPr>
      <w:r w:rsidRPr="00FE706B">
        <w:rPr>
          <w:rFonts w:ascii="Arial" w:hAnsi="Arial" w:cs="Arial"/>
          <w:sz w:val="20"/>
          <w:szCs w:val="20"/>
        </w:rPr>
        <w:t>az értékelésre, a minőség-ellenőrzésre vagy a bírálatra benyújtott dokumentumok előkészítésében vagy kidolgozásában – a 1303/2013/EU rendelet 34. cikkében meghatározott helyi akciócsoportok munkaszervezeteinek alkalmazottjai kivételével – bármilyen formában részt vett;</w:t>
      </w:r>
    </w:p>
    <w:p w14:paraId="71524440" w14:textId="77777777" w:rsidR="00B9761A" w:rsidRPr="00FE706B" w:rsidRDefault="00B9761A" w:rsidP="00B9761A">
      <w:pPr>
        <w:pStyle w:val="Listaszerbekezds"/>
        <w:numPr>
          <w:ilvl w:val="0"/>
          <w:numId w:val="38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a)-d) pont szerinti személynek a Polgári Törvénykönyvről szóló 2013. évi V. törvény (a továbbiakban: Ptk.) 8:1. § 1. pontja szerinti közeli hozzátartozója;</w:t>
      </w:r>
    </w:p>
    <w:p w14:paraId="7C1140F6" w14:textId="77777777" w:rsidR="00B9761A" w:rsidRPr="00FE706B" w:rsidRDefault="00B9761A" w:rsidP="00B9761A">
      <w:pPr>
        <w:pStyle w:val="Listaszerbekezds"/>
        <w:numPr>
          <w:ilvl w:val="0"/>
          <w:numId w:val="38"/>
        </w:numPr>
        <w:autoSpaceDN w:val="0"/>
        <w:spacing w:before="120" w:after="120" w:line="276" w:lineRule="auto"/>
        <w:ind w:left="709" w:firstLine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tekintetében az IH-hoz érkezett bejelentés alapján vagy hivatalból az IH megállapítja, hogy pártatlan és objektív közreműködése nem biztosított.</w:t>
      </w:r>
    </w:p>
    <w:p w14:paraId="3CF604FE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FE706B">
        <w:rPr>
          <w:rFonts w:ascii="Arial" w:hAnsi="Arial" w:cs="Arial"/>
          <w:sz w:val="20"/>
          <w:szCs w:val="20"/>
          <w:lang w:eastAsia="hu-HU"/>
        </w:rPr>
        <w:t>A támogatásra vonatkozó döntés meghozatalában részt vevő személy vagy szervezet képviseletére jogosult személy a döntés-előkészítési eljárás megkezdésekor az adott felhívásra vonatkozó teljes bizonyító erejű magánokiratban nyilatkozatot tesz arról, hogy fentiek szerinti összeférhetetlenség vele szemben nem áll fenn, a támogatásra vonatkozó döntés előkészítése és meghozatala során tudomására jutott minősített adatot, üzleti vagy banktitkot, fizetési titkot, illetve egyéb magántitkot megőrzi.</w:t>
      </w:r>
    </w:p>
    <w:p w14:paraId="452A6634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FE706B">
        <w:rPr>
          <w:rFonts w:ascii="Arial" w:hAnsi="Arial" w:cs="Arial"/>
          <w:sz w:val="20"/>
          <w:szCs w:val="20"/>
          <w:lang w:eastAsia="hu-HU"/>
        </w:rPr>
        <w:t>Az összeférhetetlenséget minden támogatási kérelem esetén külön kell vizsgálni.</w:t>
      </w:r>
    </w:p>
    <w:p w14:paraId="069FC23E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FE706B">
        <w:rPr>
          <w:rFonts w:ascii="Arial" w:hAnsi="Arial" w:cs="Arial"/>
          <w:sz w:val="20"/>
          <w:szCs w:val="20"/>
          <w:lang w:eastAsia="hu-HU"/>
        </w:rPr>
        <w:t>Az összeférhetetlenségi nyilatkozat formanyomtatványa az ügyrend 2. sz. melléklete.</w:t>
      </w:r>
    </w:p>
    <w:p w14:paraId="39EB86D6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BA09011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II.3.3. Titoktartási kötelezettség</w:t>
      </w:r>
    </w:p>
    <w:p w14:paraId="79C3AB39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értékelésben és a támogatási döntés előkészítésében részt vevőket a támogatást igénylő támogatási döntésről történő tájékoztatása időpontjáig titoktartási kötelezettség terheli. A titoktartási kötelezettség nem terjed ki a benyújtott támogatási kérelemnek a projekt-kiválasztási eljárásban történő előrehaladásáról történő tájékoztatásra.</w:t>
      </w:r>
    </w:p>
    <w:p w14:paraId="628C9BBF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FE706B">
        <w:rPr>
          <w:rFonts w:ascii="Arial" w:hAnsi="Arial" w:cs="Arial"/>
          <w:sz w:val="20"/>
          <w:szCs w:val="20"/>
          <w:lang w:eastAsia="hu-HU"/>
        </w:rPr>
        <w:t>Az titoktartási nyilatkozat formanyomtatványa az ügyrend 3. sz. melléklete.</w:t>
      </w:r>
    </w:p>
    <w:p w14:paraId="473FD9E9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14:paraId="77978C38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FE706B">
        <w:rPr>
          <w:rFonts w:ascii="Arial" w:hAnsi="Arial" w:cs="Arial"/>
          <w:bCs/>
          <w:i/>
          <w:sz w:val="20"/>
          <w:szCs w:val="20"/>
          <w:u w:val="single"/>
        </w:rPr>
        <w:t>II.3.4. A helyi támogatási kérelmek előterjesztése és a HBB döntési javaslata</w:t>
      </w:r>
    </w:p>
    <w:p w14:paraId="0BEB329D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</w:pPr>
      <w:r w:rsidRPr="00FE706B">
        <w:rPr>
          <w:rFonts w:ascii="Arial" w:hAnsi="Arial" w:cs="Arial"/>
          <w:bCs/>
          <w:sz w:val="20"/>
          <w:szCs w:val="20"/>
        </w:rPr>
        <w:t>A HBB minden előterjesztett helyi támogatási kérelemmel kapcsolatosan egyenként fogalmazza meg döntési javaslatát, beleértve a HACS munkaszervezete által jogosulatlanság miatt elutasításra javasolt kérelmeket.</w:t>
      </w:r>
    </w:p>
    <w:p w14:paraId="590164A9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</w:pPr>
      <w:r w:rsidRPr="00FE706B">
        <w:rPr>
          <w:rFonts w:ascii="Arial" w:hAnsi="Arial" w:cs="Arial"/>
          <w:sz w:val="20"/>
          <w:szCs w:val="20"/>
        </w:rPr>
        <w:t>A HBB döntéseit nyílt szavazással, egyszerű többséggel hozza meg.</w:t>
      </w:r>
    </w:p>
    <w:p w14:paraId="257F8701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a helyi felhívás és a HBB elnökének előterjesztése alapján megtárgyalja a helyi támogatási kérelmeket. A HBB a helyi támogatási kérelemre vonatkozó támogató vagy elutasító javaslatot a kérelmek – a helyi felhívásban előírt értékelési szempontoknak való megfelelés szerinti – pontozás során kialakult rangsora alapján tesz. Amennyiben a HBB nem ért egyet az előterjesztésben szereplő jogosultsági ellenőrzés és / vagy tartalmi értékelés eredményével, minőségbiztosítás keretén belül, részletes indoklással ellátva legfeljebb egy alkalommal visszaküldi az adott kérelmet a jogosultság újbóli ellenőrzésére, illetve tartalmi újraértékelésre.</w:t>
      </w:r>
    </w:p>
    <w:p w14:paraId="286B0283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Az elutasítást javasló HBB tagnak döntését részletesen meg kell indokolnia, amelyet a jegyzőkönyvnek tartalmaznia kell. A HBB köteles részletes indoklást készíteni, ha a helyi támogatási kérelmet elutasításra javasolja.</w:t>
      </w:r>
    </w:p>
    <w:p w14:paraId="2C4C2A91" w14:textId="77777777" w:rsidR="00B9761A" w:rsidRPr="00FE706B" w:rsidRDefault="00B9761A" w:rsidP="00B9761A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feltétellel vagy csökkentett összeggel való támogatásra irányuló döntési javaslatot nem adhat.</w:t>
      </w:r>
    </w:p>
    <w:p w14:paraId="0109C164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lastRenderedPageBreak/>
        <w:t>A rangsor alapján, a rendelkezésre álló források és a helyi támogatási igények egybevetése mellett a HBB meghatározza támogatásra javasolt helyi támogatási kérelmek körét, amelyet szakmai indoklással és a megállapított pontszámmal lát el.</w:t>
      </w:r>
    </w:p>
    <w:p w14:paraId="6E4CBC18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Ha az adott támogatási kérelem megfelelt a támogathatósághoz szükséges minimális követelményeknek, de forráshiány miatt nem támogatható, a HBB tartaléklistát képezhet. A tartaléklista hosszát a HBB határozza meg.</w:t>
      </w:r>
    </w:p>
    <w:p w14:paraId="10D8C95A" w14:textId="77777777" w:rsidR="00B9761A" w:rsidRPr="00FE706B" w:rsidRDefault="00B9761A" w:rsidP="00B9761A">
      <w:pPr>
        <w:pStyle w:val="Listaszerbekezds"/>
        <w:spacing w:before="120" w:after="120"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B13E9C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b/>
          <w:sz w:val="20"/>
          <w:szCs w:val="20"/>
        </w:rPr>
        <w:t>II.4. A HBB ülése utáni feladatok</w:t>
      </w:r>
    </w:p>
    <w:p w14:paraId="15BBDA5D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E706B">
        <w:rPr>
          <w:rFonts w:ascii="Arial" w:hAnsi="Arial" w:cs="Arial"/>
          <w:i/>
          <w:sz w:val="20"/>
          <w:szCs w:val="20"/>
          <w:u w:val="single"/>
        </w:rPr>
        <w:t>II.4.1. A HBB üléseinek dokumentálása</w:t>
      </w:r>
    </w:p>
    <w:p w14:paraId="62B4E6A4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titkára jelen ügyrend mellékletét képező, az IH által kiadott HBB jegyzőkönyv sablon alapján elkészíti a HBB ülés jegyzőkönyvét.</w:t>
      </w:r>
    </w:p>
    <w:p w14:paraId="51011F02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jegyzőkönyvet a HBB elnöke és a bizottság egy további, előzetesen kijelölt állandó tagja aláírásával hitelesíti. A hitelesített jegyzőkönyvet a HBB titkára a HBB üléstől számított &lt;&lt;…napon belül &gt;&gt; megküldi a HACS vezetőjének/elnökének ellenjegyzésre.</w:t>
      </w:r>
    </w:p>
    <w:p w14:paraId="330F6C1D" w14:textId="77777777" w:rsidR="00B9761A" w:rsidRPr="00FE706B" w:rsidRDefault="00B9761A" w:rsidP="00B9761A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titkára biztosítja a HBB tagjai és résztvevői számára az ellenjegyzett jegyzőkönyvbe történő betekintést.</w:t>
      </w:r>
    </w:p>
    <w:p w14:paraId="71B36CF3" w14:textId="77777777" w:rsidR="00B9761A" w:rsidRPr="00FE706B" w:rsidRDefault="00B9761A" w:rsidP="00B9761A">
      <w:pPr>
        <w:pStyle w:val="Standard"/>
        <w:spacing w:before="120" w:after="120" w:line="276" w:lineRule="auto"/>
        <w:jc w:val="both"/>
      </w:pPr>
      <w:r w:rsidRPr="00FE706B">
        <w:rPr>
          <w:rFonts w:ascii="Arial" w:hAnsi="Arial" w:cs="Arial"/>
          <w:sz w:val="20"/>
          <w:szCs w:val="20"/>
        </w:rPr>
        <w:t>A HBB titkára a HBB ülést követő 20 napon belül megküldi a HACS elnöke által ellenjegyzett HBB jegyzőkönyvet az IH-nak,</w:t>
      </w:r>
    </w:p>
    <w:p w14:paraId="46ED09CC" w14:textId="0B678D02" w:rsidR="00B9761A" w:rsidRPr="00FE706B" w:rsidRDefault="00B9761A" w:rsidP="00B9761A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FE706B">
        <w:rPr>
          <w:rFonts w:ascii="Arial" w:hAnsi="Arial" w:cs="Arial"/>
          <w:sz w:val="20"/>
          <w:szCs w:val="20"/>
        </w:rPr>
        <w:t>A HBB titkára gondoskodik a HBB munkája során keletkezett iratok megőrzéséről.</w:t>
      </w:r>
    </w:p>
    <w:sectPr w:rsidR="00B9761A" w:rsidRPr="00FE706B" w:rsidSect="00CA27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0FECA" w14:textId="77777777" w:rsidR="00646C56" w:rsidRDefault="00646C56" w:rsidP="00BA629B">
      <w:r>
        <w:separator/>
      </w:r>
    </w:p>
  </w:endnote>
  <w:endnote w:type="continuationSeparator" w:id="0">
    <w:p w14:paraId="2FD6C2AA" w14:textId="77777777" w:rsidR="00646C56" w:rsidRDefault="00646C56" w:rsidP="00BA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97440"/>
      <w:docPartObj>
        <w:docPartGallery w:val="Page Numbers (Bottom of Page)"/>
        <w:docPartUnique/>
      </w:docPartObj>
    </w:sdtPr>
    <w:sdtEndPr/>
    <w:sdtContent>
      <w:p w14:paraId="4DF43674" w14:textId="3B52F1F4" w:rsidR="0021616E" w:rsidRDefault="002161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4B">
          <w:rPr>
            <w:noProof/>
          </w:rPr>
          <w:t>3</w:t>
        </w:r>
        <w:r>
          <w:fldChar w:fldCharType="end"/>
        </w:r>
      </w:p>
    </w:sdtContent>
  </w:sdt>
  <w:p w14:paraId="33DE0EB8" w14:textId="3F5C2B41" w:rsidR="00BA629B" w:rsidRDefault="00BA62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A277" w14:textId="77777777" w:rsidR="00646C56" w:rsidRDefault="00646C56" w:rsidP="00BA629B">
      <w:r>
        <w:separator/>
      </w:r>
    </w:p>
  </w:footnote>
  <w:footnote w:type="continuationSeparator" w:id="0">
    <w:p w14:paraId="355C9D51" w14:textId="77777777" w:rsidR="00646C56" w:rsidRDefault="00646C56" w:rsidP="00BA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13911"/>
    <w:multiLevelType w:val="multilevel"/>
    <w:tmpl w:val="E20EE71C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73D457F"/>
    <w:multiLevelType w:val="multilevel"/>
    <w:tmpl w:val="CC8CD1B2"/>
    <w:styleLink w:val="WWNum28"/>
    <w:lvl w:ilvl="0">
      <w:start w:val="1"/>
      <w:numFmt w:val="lowerLetter"/>
      <w:lvlText w:val="%1)"/>
      <w:lvlJc w:val="left"/>
      <w:pPr>
        <w:ind w:left="588" w:hanging="360"/>
      </w:pPr>
    </w:lvl>
    <w:lvl w:ilvl="1">
      <w:numFmt w:val="bullet"/>
      <w:lvlText w:val="o"/>
      <w:lvlJc w:val="left"/>
      <w:pPr>
        <w:ind w:left="13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48" w:hanging="360"/>
      </w:pPr>
      <w:rPr>
        <w:rFonts w:ascii="Wingdings" w:hAnsi="Wingdings"/>
      </w:rPr>
    </w:lvl>
  </w:abstractNum>
  <w:abstractNum w:abstractNumId="12" w15:restartNumberingAfterBreak="0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516F"/>
    <w:multiLevelType w:val="multilevel"/>
    <w:tmpl w:val="BD54C9C4"/>
    <w:styleLink w:val="WWNum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537787F"/>
    <w:multiLevelType w:val="multilevel"/>
    <w:tmpl w:val="C46AB778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 w15:restartNumberingAfterBreak="0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8" w15:restartNumberingAfterBreak="0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4" w15:restartNumberingAfterBreak="0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5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3368ED"/>
    <w:multiLevelType w:val="multilevel"/>
    <w:tmpl w:val="4AB6BA7C"/>
    <w:styleLink w:val="WWNum30"/>
    <w:lvl w:ilvl="0">
      <w:start w:val="1"/>
      <w:numFmt w:val="lowerLetter"/>
      <w:lvlText w:val="%1)"/>
      <w:lvlJc w:val="left"/>
      <w:pPr>
        <w:ind w:left="588" w:hanging="360"/>
      </w:pPr>
    </w:lvl>
    <w:lvl w:ilvl="1">
      <w:numFmt w:val="bullet"/>
      <w:lvlText w:val="o"/>
      <w:lvlJc w:val="left"/>
      <w:pPr>
        <w:ind w:left="13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48" w:hanging="360"/>
      </w:pPr>
      <w:rPr>
        <w:rFonts w:ascii="Wingdings" w:hAnsi="Wingdings"/>
      </w:rPr>
    </w:lvl>
  </w:abstractNum>
  <w:abstractNum w:abstractNumId="41" w15:restartNumberingAfterBreak="0">
    <w:nsid w:val="6F4622FE"/>
    <w:multiLevelType w:val="multilevel"/>
    <w:tmpl w:val="4A50403E"/>
    <w:styleLink w:val="WWNum31"/>
    <w:lvl w:ilvl="0">
      <w:start w:val="1"/>
      <w:numFmt w:val="lowerLetter"/>
      <w:lvlText w:val="%1)"/>
      <w:lvlJc w:val="left"/>
      <w:pPr>
        <w:ind w:left="588" w:hanging="360"/>
      </w:pPr>
    </w:lvl>
    <w:lvl w:ilvl="1">
      <w:numFmt w:val="bullet"/>
      <w:lvlText w:val="o"/>
      <w:lvlJc w:val="left"/>
      <w:pPr>
        <w:ind w:left="13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48" w:hanging="360"/>
      </w:pPr>
      <w:rPr>
        <w:rFonts w:ascii="Wingdings" w:hAnsi="Wingdings"/>
      </w:rPr>
    </w:lvl>
  </w:abstractNum>
  <w:abstractNum w:abstractNumId="42" w15:restartNumberingAfterBreak="0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18"/>
  </w:num>
  <w:num w:numId="5">
    <w:abstractNumId w:val="21"/>
  </w:num>
  <w:num w:numId="6">
    <w:abstractNumId w:val="6"/>
  </w:num>
  <w:num w:numId="7">
    <w:abstractNumId w:val="14"/>
  </w:num>
  <w:num w:numId="8">
    <w:abstractNumId w:val="26"/>
  </w:num>
  <w:num w:numId="9">
    <w:abstractNumId w:val="4"/>
  </w:num>
  <w:num w:numId="10">
    <w:abstractNumId w:val="39"/>
  </w:num>
  <w:num w:numId="11">
    <w:abstractNumId w:val="31"/>
  </w:num>
  <w:num w:numId="12">
    <w:abstractNumId w:val="25"/>
  </w:num>
  <w:num w:numId="13">
    <w:abstractNumId w:val="19"/>
  </w:num>
  <w:num w:numId="14">
    <w:abstractNumId w:val="34"/>
  </w:num>
  <w:num w:numId="15">
    <w:abstractNumId w:val="20"/>
  </w:num>
  <w:num w:numId="16">
    <w:abstractNumId w:val="29"/>
  </w:num>
  <w:num w:numId="17">
    <w:abstractNumId w:val="35"/>
  </w:num>
  <w:num w:numId="18">
    <w:abstractNumId w:val="9"/>
  </w:num>
  <w:num w:numId="19">
    <w:abstractNumId w:val="30"/>
  </w:num>
  <w:num w:numId="20">
    <w:abstractNumId w:val="7"/>
  </w:num>
  <w:num w:numId="21">
    <w:abstractNumId w:val="36"/>
  </w:num>
  <w:num w:numId="22">
    <w:abstractNumId w:val="8"/>
  </w:num>
  <w:num w:numId="23">
    <w:abstractNumId w:val="5"/>
  </w:num>
  <w:num w:numId="24">
    <w:abstractNumId w:val="32"/>
  </w:num>
  <w:num w:numId="25">
    <w:abstractNumId w:val="1"/>
  </w:num>
  <w:num w:numId="26">
    <w:abstractNumId w:val="24"/>
  </w:num>
  <w:num w:numId="27">
    <w:abstractNumId w:val="22"/>
  </w:num>
  <w:num w:numId="28">
    <w:abstractNumId w:val="27"/>
  </w:num>
  <w:num w:numId="29">
    <w:abstractNumId w:val="28"/>
  </w:num>
  <w:num w:numId="30">
    <w:abstractNumId w:val="3"/>
  </w:num>
  <w:num w:numId="31">
    <w:abstractNumId w:val="2"/>
  </w:num>
  <w:num w:numId="32">
    <w:abstractNumId w:val="33"/>
  </w:num>
  <w:num w:numId="33">
    <w:abstractNumId w:val="13"/>
  </w:num>
  <w:num w:numId="34">
    <w:abstractNumId w:val="17"/>
  </w:num>
  <w:num w:numId="35">
    <w:abstractNumId w:val="37"/>
  </w:num>
  <w:num w:numId="36">
    <w:abstractNumId w:val="42"/>
  </w:num>
  <w:num w:numId="37">
    <w:abstractNumId w:val="12"/>
  </w:num>
  <w:num w:numId="38">
    <w:abstractNumId w:val="16"/>
  </w:num>
  <w:num w:numId="39">
    <w:abstractNumId w:val="15"/>
  </w:num>
  <w:num w:numId="40">
    <w:abstractNumId w:val="11"/>
  </w:num>
  <w:num w:numId="41">
    <w:abstractNumId w:val="10"/>
  </w:num>
  <w:num w:numId="42">
    <w:abstractNumId w:val="40"/>
  </w:num>
  <w:num w:numId="43">
    <w:abstractNumId w:val="41"/>
  </w:num>
  <w:num w:numId="44">
    <w:abstractNumId w:val="15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40"/>
    <w:lvlOverride w:ilvl="0">
      <w:startOverride w:val="1"/>
    </w:lvlOverride>
  </w:num>
  <w:num w:numId="4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8B"/>
    <w:rsid w:val="00006D9A"/>
    <w:rsid w:val="00012471"/>
    <w:rsid w:val="00041E97"/>
    <w:rsid w:val="000859EA"/>
    <w:rsid w:val="000B7244"/>
    <w:rsid w:val="000C68C0"/>
    <w:rsid w:val="000C6A12"/>
    <w:rsid w:val="0013617F"/>
    <w:rsid w:val="00144925"/>
    <w:rsid w:val="00150A90"/>
    <w:rsid w:val="00164BC3"/>
    <w:rsid w:val="001702EA"/>
    <w:rsid w:val="00180CBB"/>
    <w:rsid w:val="001958E7"/>
    <w:rsid w:val="001A29AB"/>
    <w:rsid w:val="001A53D4"/>
    <w:rsid w:val="001B106D"/>
    <w:rsid w:val="001E3107"/>
    <w:rsid w:val="001F70D5"/>
    <w:rsid w:val="00211240"/>
    <w:rsid w:val="0021616E"/>
    <w:rsid w:val="00233195"/>
    <w:rsid w:val="00234452"/>
    <w:rsid w:val="002537FD"/>
    <w:rsid w:val="00265110"/>
    <w:rsid w:val="00285FDE"/>
    <w:rsid w:val="00294CD8"/>
    <w:rsid w:val="002B7423"/>
    <w:rsid w:val="002D6AC5"/>
    <w:rsid w:val="002F4EDA"/>
    <w:rsid w:val="00324C81"/>
    <w:rsid w:val="00361E27"/>
    <w:rsid w:val="00370445"/>
    <w:rsid w:val="0039615A"/>
    <w:rsid w:val="003C4A6C"/>
    <w:rsid w:val="003D2241"/>
    <w:rsid w:val="003D5562"/>
    <w:rsid w:val="0044548A"/>
    <w:rsid w:val="00483DDA"/>
    <w:rsid w:val="004A0518"/>
    <w:rsid w:val="004C5EA4"/>
    <w:rsid w:val="004E158B"/>
    <w:rsid w:val="004E5546"/>
    <w:rsid w:val="005159EE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90B78"/>
    <w:rsid w:val="00631476"/>
    <w:rsid w:val="00646C56"/>
    <w:rsid w:val="00676DE4"/>
    <w:rsid w:val="00682A3A"/>
    <w:rsid w:val="007123D6"/>
    <w:rsid w:val="007560DE"/>
    <w:rsid w:val="007645D4"/>
    <w:rsid w:val="00792C88"/>
    <w:rsid w:val="00797A0C"/>
    <w:rsid w:val="007B389F"/>
    <w:rsid w:val="007C658C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36212"/>
    <w:rsid w:val="00984C09"/>
    <w:rsid w:val="009A4C35"/>
    <w:rsid w:val="009B2FB6"/>
    <w:rsid w:val="009D1267"/>
    <w:rsid w:val="009E483B"/>
    <w:rsid w:val="009F5BEA"/>
    <w:rsid w:val="00A8467E"/>
    <w:rsid w:val="00A9627F"/>
    <w:rsid w:val="00AD115B"/>
    <w:rsid w:val="00AE61B7"/>
    <w:rsid w:val="00B27D59"/>
    <w:rsid w:val="00B45564"/>
    <w:rsid w:val="00B4584A"/>
    <w:rsid w:val="00B70E9F"/>
    <w:rsid w:val="00B9761A"/>
    <w:rsid w:val="00BA629B"/>
    <w:rsid w:val="00BD4BF4"/>
    <w:rsid w:val="00C01613"/>
    <w:rsid w:val="00C05C93"/>
    <w:rsid w:val="00C151C5"/>
    <w:rsid w:val="00C859D3"/>
    <w:rsid w:val="00C960D9"/>
    <w:rsid w:val="00CA2720"/>
    <w:rsid w:val="00CA5C35"/>
    <w:rsid w:val="00CC61C4"/>
    <w:rsid w:val="00CE52D9"/>
    <w:rsid w:val="00D05AF5"/>
    <w:rsid w:val="00D355D9"/>
    <w:rsid w:val="00D56FD7"/>
    <w:rsid w:val="00D66B76"/>
    <w:rsid w:val="00D81E8A"/>
    <w:rsid w:val="00DF2D67"/>
    <w:rsid w:val="00E10398"/>
    <w:rsid w:val="00E2622C"/>
    <w:rsid w:val="00E36457"/>
    <w:rsid w:val="00E521EA"/>
    <w:rsid w:val="00EA5DF9"/>
    <w:rsid w:val="00F36D52"/>
    <w:rsid w:val="00F45B0A"/>
    <w:rsid w:val="00F527A5"/>
    <w:rsid w:val="00F56309"/>
    <w:rsid w:val="00F94F60"/>
    <w:rsid w:val="00FC2C98"/>
    <w:rsid w:val="00FE706B"/>
    <w:rsid w:val="00FF09AF"/>
    <w:rsid w:val="00FF413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1A3C"/>
  <w15:docId w15:val="{CCCFE9E5-33B7-4830-8F4B-53980071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976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8">
    <w:name w:val="WWNum18"/>
    <w:basedOn w:val="Nemlista"/>
    <w:rsid w:val="00B9761A"/>
    <w:pPr>
      <w:numPr>
        <w:numId w:val="38"/>
      </w:numPr>
    </w:pPr>
  </w:style>
  <w:style w:type="numbering" w:customStyle="1" w:styleId="WWNum24">
    <w:name w:val="WWNum24"/>
    <w:basedOn w:val="Nemlista"/>
    <w:rsid w:val="00B9761A"/>
    <w:pPr>
      <w:numPr>
        <w:numId w:val="39"/>
      </w:numPr>
    </w:pPr>
  </w:style>
  <w:style w:type="numbering" w:customStyle="1" w:styleId="WWNum28">
    <w:name w:val="WWNum28"/>
    <w:basedOn w:val="Nemlista"/>
    <w:rsid w:val="00B9761A"/>
    <w:pPr>
      <w:numPr>
        <w:numId w:val="40"/>
      </w:numPr>
    </w:pPr>
  </w:style>
  <w:style w:type="numbering" w:customStyle="1" w:styleId="WWNum29">
    <w:name w:val="WWNum29"/>
    <w:basedOn w:val="Nemlista"/>
    <w:rsid w:val="00B9761A"/>
    <w:pPr>
      <w:numPr>
        <w:numId w:val="41"/>
      </w:numPr>
    </w:pPr>
  </w:style>
  <w:style w:type="numbering" w:customStyle="1" w:styleId="WWNum30">
    <w:name w:val="WWNum30"/>
    <w:basedOn w:val="Nemlista"/>
    <w:rsid w:val="00B9761A"/>
    <w:pPr>
      <w:numPr>
        <w:numId w:val="42"/>
      </w:numPr>
    </w:pPr>
  </w:style>
  <w:style w:type="numbering" w:customStyle="1" w:styleId="WWNum31">
    <w:name w:val="WWNum31"/>
    <w:basedOn w:val="Nemlista"/>
    <w:rsid w:val="00B9761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A09C-4D57-4F6D-B0E6-48EBBF5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12935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Magócs Krisztina</dc:creator>
  <cp:lastModifiedBy>User</cp:lastModifiedBy>
  <cp:revision>2</cp:revision>
  <cp:lastPrinted>2017-04-10T12:26:00Z</cp:lastPrinted>
  <dcterms:created xsi:type="dcterms:W3CDTF">2018-04-03T09:12:00Z</dcterms:created>
  <dcterms:modified xsi:type="dcterms:W3CDTF">2018-04-03T09:12:00Z</dcterms:modified>
</cp:coreProperties>
</file>